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61" w:rsidRDefault="00550C61" w:rsidP="00550C6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50C61">
        <w:rPr>
          <w:rFonts w:asciiTheme="minorHAnsi" w:hAnsiTheme="minorHAnsi"/>
          <w:b/>
          <w:sz w:val="32"/>
          <w:szCs w:val="32"/>
        </w:rPr>
        <w:t>RAPORT Z KONSULTACJI SPOŁECZNYCH</w:t>
      </w:r>
    </w:p>
    <w:p w:rsidR="00566333" w:rsidRPr="00550C61" w:rsidRDefault="00566333" w:rsidP="00550C6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5F721E" w:rsidRPr="00F720DF" w:rsidRDefault="00550C61" w:rsidP="005F721E">
      <w:pPr>
        <w:jc w:val="both"/>
        <w:rPr>
          <w:rFonts w:eastAsia="Calibri" w:cs="Tahoma"/>
          <w:lang w:eastAsia="zh-CN"/>
        </w:rPr>
      </w:pPr>
      <w:r w:rsidRPr="00F720DF">
        <w:rPr>
          <w:rFonts w:asciiTheme="minorHAnsi" w:hAnsiTheme="minorHAnsi"/>
        </w:rPr>
        <w:t xml:space="preserve">Zakończył się proces  konsultacji społecznych  projektu dokumentu: </w:t>
      </w:r>
      <w:r w:rsidRPr="00F720DF">
        <w:rPr>
          <w:rFonts w:asciiTheme="minorHAnsi" w:hAnsiTheme="minorHAnsi"/>
          <w:b/>
          <w:lang w:eastAsia="pl-PL"/>
        </w:rPr>
        <w:t>LOKALNY PROGRAM REWITALIZACJI DLA MIASTA TARNOBRZEGA NA LATA 2016-2023</w:t>
      </w:r>
      <w:r w:rsidR="005F721E" w:rsidRPr="00F720DF">
        <w:rPr>
          <w:rFonts w:asciiTheme="minorHAnsi" w:hAnsiTheme="minorHAnsi"/>
          <w:b/>
          <w:lang w:eastAsia="pl-PL"/>
        </w:rPr>
        <w:t xml:space="preserve"> w formie </w:t>
      </w:r>
      <w:r w:rsidR="005F721E" w:rsidRPr="00F720DF">
        <w:rPr>
          <w:rFonts w:eastAsia="Calibri" w:cs="Tahoma"/>
          <w:lang w:eastAsia="zh-CN"/>
        </w:rPr>
        <w:t>zbierania uwag do propozycji dokumentu poprzez elektroniczny formularz uwag. zamieszczony na stronie internetowej Urzędu Miasta (www.tarnobrzeg.pl) w zakładce „Lokalny Program Rewitalizacji Miasta Tarnobrzega 2016-2023”.</w:t>
      </w:r>
    </w:p>
    <w:p w:rsidR="005F721E" w:rsidRPr="00F720DF" w:rsidRDefault="005F721E" w:rsidP="005F721E">
      <w:pPr>
        <w:suppressAutoHyphens/>
        <w:spacing w:after="160" w:line="252" w:lineRule="auto"/>
        <w:jc w:val="both"/>
        <w:rPr>
          <w:rFonts w:eastAsia="Calibri" w:cs="Tahoma"/>
          <w:lang w:eastAsia="zh-CN"/>
        </w:rPr>
      </w:pPr>
      <w:r w:rsidRPr="00F720DF">
        <w:rPr>
          <w:rFonts w:eastAsia="Calibri" w:cs="Tahoma"/>
          <w:lang w:eastAsia="zh-CN"/>
        </w:rPr>
        <w:t xml:space="preserve">Mieszkańcy oraz inni interesariusze Programu Rewitalizacji byli zachęcani do zapoznania się z przygotowanym projektem dokumentu (dostępnym w zakładce strony UM). Z treścią dokumentu można było zapoznać się także w siedzibie Urzędu Miasta Tarnobrzega – Wydział Rozwoju Miasta i Funduszy Pomocowych. </w:t>
      </w:r>
    </w:p>
    <w:p w:rsidR="000D6FB2" w:rsidRPr="00F720DF" w:rsidRDefault="005F721E" w:rsidP="005F721E">
      <w:pPr>
        <w:suppressAutoHyphens/>
        <w:spacing w:after="160" w:line="252" w:lineRule="auto"/>
        <w:jc w:val="both"/>
        <w:rPr>
          <w:rFonts w:eastAsia="Calibri" w:cs="Tahoma"/>
          <w:lang w:eastAsia="zh-CN"/>
        </w:rPr>
      </w:pPr>
      <w:r w:rsidRPr="00F720DF">
        <w:rPr>
          <w:rFonts w:eastAsia="Calibri" w:cs="Tahoma"/>
          <w:lang w:eastAsia="zh-CN"/>
        </w:rPr>
        <w:t xml:space="preserve">Wszelkie sugestie można było wnosić za pomocą przygotowanego formularza elektronicznie osobiście lub listownie albo drogą elektroniczną. </w:t>
      </w:r>
    </w:p>
    <w:p w:rsidR="005F721E" w:rsidRPr="00F720DF" w:rsidRDefault="000D6FB2" w:rsidP="005F721E">
      <w:pPr>
        <w:suppressAutoHyphens/>
        <w:spacing w:after="160" w:line="252" w:lineRule="auto"/>
        <w:jc w:val="both"/>
        <w:rPr>
          <w:rFonts w:eastAsia="Calibri" w:cs="Tahoma"/>
          <w:b/>
          <w:lang w:eastAsia="zh-CN"/>
        </w:rPr>
      </w:pPr>
      <w:r w:rsidRPr="00F720DF">
        <w:rPr>
          <w:rFonts w:eastAsia="Calibri" w:cs="Tahoma"/>
          <w:b/>
          <w:lang w:eastAsia="zh-CN"/>
        </w:rPr>
        <w:t xml:space="preserve">Zbiorcze zestawienie uwag, wniosków i propozycji wraz ze sposobem ich rozpatrzenia przedstawiono w  tabeli </w:t>
      </w:r>
      <w:r w:rsidR="005F721E" w:rsidRPr="00F720DF">
        <w:rPr>
          <w:rFonts w:eastAsia="Calibri" w:cs="Tahoma"/>
          <w:b/>
          <w:lang w:eastAsia="zh-CN"/>
        </w:rPr>
        <w:t>poniżej.</w:t>
      </w:r>
    </w:p>
    <w:p w:rsidR="005F721E" w:rsidRPr="00F720DF" w:rsidRDefault="005F721E" w:rsidP="005F721E">
      <w:pPr>
        <w:spacing w:after="0" w:line="240" w:lineRule="auto"/>
        <w:jc w:val="both"/>
        <w:rPr>
          <w:rFonts w:eastAsia="Calibri" w:cs="Tahoma"/>
          <w:b/>
          <w:lang w:eastAsia="zh-CN"/>
        </w:rPr>
      </w:pPr>
      <w:r w:rsidRPr="00F720DF">
        <w:rPr>
          <w:rFonts w:eastAsia="Calibri" w:cs="Tahoma"/>
          <w:b/>
          <w:lang w:eastAsia="zh-CN"/>
        </w:rPr>
        <w:t xml:space="preserve">Dokument po korektach dostępny jest na w załączniku na stronie internetowej Urzędu Miasta. </w:t>
      </w:r>
    </w:p>
    <w:p w:rsidR="005F721E" w:rsidRPr="00F720DF" w:rsidRDefault="005F721E" w:rsidP="005F721E">
      <w:pPr>
        <w:spacing w:after="0" w:line="240" w:lineRule="auto"/>
        <w:jc w:val="both"/>
        <w:rPr>
          <w:rFonts w:eastAsia="Calibri" w:cs="Tahoma"/>
          <w:lang w:eastAsia="zh-CN"/>
        </w:rPr>
      </w:pPr>
    </w:p>
    <w:p w:rsidR="005F721E" w:rsidRPr="00F720DF" w:rsidRDefault="005F721E" w:rsidP="005F721E">
      <w:pPr>
        <w:spacing w:after="0" w:line="240" w:lineRule="auto"/>
        <w:jc w:val="both"/>
        <w:rPr>
          <w:color w:val="000000"/>
        </w:rPr>
      </w:pPr>
      <w:r w:rsidRPr="00F720DF">
        <w:rPr>
          <w:rFonts w:eastAsia="Calibri" w:cs="Tahoma"/>
          <w:lang w:eastAsia="zh-CN"/>
        </w:rPr>
        <w:t xml:space="preserve">W dokumencie ostatecznym nie znalazły się propozycje projektów rewitalizacji, które nie spełniły wymogów określonych </w:t>
      </w:r>
      <w:r w:rsidRPr="00F720DF">
        <w:rPr>
          <w:color w:val="000000"/>
        </w:rPr>
        <w:t xml:space="preserve">w dokumencie pn. „Wytyczne w zakresie rewitalizacji w programach operacyjnych na lata 2014 – </w:t>
      </w:r>
      <w:smartTag w:uri="urn:schemas-microsoft-com:office:smarttags" w:element="metricconverter">
        <w:smartTagPr>
          <w:attr w:name="ProductID" w:val="2020”"/>
        </w:smartTagPr>
        <w:r w:rsidRPr="00F720DF">
          <w:rPr>
            <w:color w:val="000000"/>
          </w:rPr>
          <w:t>2020”</w:t>
        </w:r>
      </w:smartTag>
      <w:r w:rsidRPr="00F720DF">
        <w:rPr>
          <w:color w:val="000000"/>
        </w:rPr>
        <w:t xml:space="preserve"> wydanych przez Ministra Infrastruktury i Rozwoju (ob. Ministerstwo Rozwoju), Warszawa, 3 lipca 2015 r., w szczególności w zakresie wyjaśnienia pojęć związanych z rewitalizacją oraz „Cech i elementów programów rewitalizacji” stanowiących załącznik do ww. Wytycznych. ( Dokument dostępny na stronie Ministerstwa Rozwoju: </w:t>
      </w:r>
    </w:p>
    <w:p w:rsidR="005F721E" w:rsidRPr="00F720DF" w:rsidRDefault="00BE0A28" w:rsidP="005F721E">
      <w:pPr>
        <w:suppressAutoHyphens/>
        <w:spacing w:after="160" w:line="252" w:lineRule="auto"/>
        <w:jc w:val="both"/>
        <w:rPr>
          <w:color w:val="000000"/>
        </w:rPr>
      </w:pPr>
      <w:hyperlink r:id="rId7" w:anchor="Wytyczne%20w%20zakresie%20rewitalizacji%20w%20programach%20operacyjnych%20na%20lata%202014-2020" w:history="1">
        <w:r w:rsidR="005F721E" w:rsidRPr="00F720DF">
          <w:rPr>
            <w:rStyle w:val="Hipercze"/>
            <w:color w:val="000000"/>
          </w:rPr>
          <w:t>http://www.mr.gov.pl/rewitalizacja#Wytyczne%20w%20zakresie%20rewitalizacji%20w%20programach%20operacyjnych%20na%20lata%202014-2020</w:t>
        </w:r>
      </w:hyperlink>
      <w:r w:rsidR="005F721E" w:rsidRPr="00F720DF">
        <w:rPr>
          <w:color w:val="000000"/>
        </w:rPr>
        <w:t>).</w:t>
      </w:r>
    </w:p>
    <w:p w:rsidR="005F721E" w:rsidRPr="00F720DF" w:rsidRDefault="00F720DF" w:rsidP="005F721E">
      <w:pPr>
        <w:suppressAutoHyphens/>
        <w:spacing w:after="160" w:line="252" w:lineRule="auto"/>
        <w:jc w:val="both"/>
        <w:rPr>
          <w:color w:val="000000"/>
        </w:rPr>
      </w:pPr>
      <w:r w:rsidRPr="00F720DF">
        <w:rPr>
          <w:color w:val="000000"/>
        </w:rPr>
        <w:t>O</w:t>
      </w:r>
      <w:r w:rsidR="005F721E" w:rsidRPr="00F720DF">
        <w:rPr>
          <w:color w:val="000000"/>
        </w:rPr>
        <w:t xml:space="preserve">drzucone zostały karty projektów, które nie spełniły następujących kryteriów: </w:t>
      </w:r>
    </w:p>
    <w:p w:rsidR="00550C61" w:rsidRPr="00F720DF" w:rsidRDefault="00550C61" w:rsidP="00550C61">
      <w:pPr>
        <w:spacing w:after="0" w:line="240" w:lineRule="auto"/>
        <w:rPr>
          <w:rFonts w:asciiTheme="minorHAnsi" w:hAnsiTheme="minorHAnsi"/>
          <w:lang w:eastAsia="pl-PL"/>
        </w:rPr>
      </w:pPr>
    </w:p>
    <w:p w:rsidR="005F721E" w:rsidRPr="00F720DF" w:rsidRDefault="005F721E" w:rsidP="005F721E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F720DF">
        <w:rPr>
          <w:b/>
          <w:color w:val="000000"/>
        </w:rPr>
        <w:t>Co do zasady przedsięwzięcie musi być realizowane na obszarze rewitalizacji</w:t>
      </w:r>
      <w:r w:rsidRPr="00F720DF">
        <w:rPr>
          <w:color w:val="000000"/>
        </w:rPr>
        <w:t xml:space="preserve">. Dopuszczana będzie jednak możliwość zgłaszania przedsięwzięć, które będą realizowane poza obszarem rewitalizacji, jeśli służyć one będą realizacji celów przypisanych obszarowi rewitalizacji, a beneficjentem ostatecznym projektu będą mieszkańcy obszaru rewitalizacji. Dotyczy to zwłaszcza inicjatyw społecznych nakierowanych na aktywizację zawodową i społeczną, takie przypadki muszą być jednak szeroko i logicznie uzasadnione.  </w:t>
      </w:r>
    </w:p>
    <w:p w:rsidR="005F721E" w:rsidRPr="00F720DF" w:rsidRDefault="005F721E" w:rsidP="005F721E">
      <w:pPr>
        <w:jc w:val="both"/>
        <w:rPr>
          <w:rFonts w:asciiTheme="minorHAnsi" w:hAnsiTheme="minorHAnsi"/>
          <w:lang w:eastAsia="pl-PL"/>
        </w:rPr>
      </w:pPr>
      <w:r w:rsidRPr="00F720DF">
        <w:rPr>
          <w:color w:val="000000"/>
        </w:rPr>
        <w:t xml:space="preserve">  </w:t>
      </w:r>
    </w:p>
    <w:p w:rsidR="00F970CA" w:rsidRPr="00F720DF" w:rsidRDefault="00F970CA" w:rsidP="00F970CA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F720DF">
        <w:rPr>
          <w:color w:val="000000"/>
        </w:rPr>
        <w:t xml:space="preserve">Przedsięwzięcie </w:t>
      </w:r>
      <w:r w:rsidRPr="00F720DF">
        <w:rPr>
          <w:b/>
          <w:color w:val="000000"/>
        </w:rPr>
        <w:t xml:space="preserve">musi wpisywać się w określone cele rewitalizacji </w:t>
      </w:r>
      <w:r w:rsidRPr="00F720DF">
        <w:rPr>
          <w:color w:val="000000"/>
        </w:rPr>
        <w:t>PR.</w:t>
      </w:r>
    </w:p>
    <w:p w:rsidR="00F970CA" w:rsidRPr="00F720DF" w:rsidRDefault="00F970CA" w:rsidP="00F970CA">
      <w:pPr>
        <w:jc w:val="both"/>
        <w:rPr>
          <w:color w:val="000000"/>
        </w:rPr>
      </w:pPr>
    </w:p>
    <w:p w:rsidR="00F720DF" w:rsidRPr="00F720DF" w:rsidRDefault="00F970CA" w:rsidP="00F970CA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F720DF">
        <w:rPr>
          <w:color w:val="000000"/>
        </w:rPr>
        <w:t xml:space="preserve">W przypadku gdy przedsięwzięcie obejmuje prace remontowe, konserwatorskie, restauratorskie, roboty budowlane budynków lub zagospodarowanie terenu w rozumieniu przepisów prawa, </w:t>
      </w:r>
      <w:r w:rsidRPr="00F720DF">
        <w:rPr>
          <w:b/>
          <w:color w:val="000000"/>
        </w:rPr>
        <w:t xml:space="preserve">Wnioskodawca musi posiadać tytuł prawny </w:t>
      </w:r>
      <w:r w:rsidRPr="00F720DF">
        <w:rPr>
          <w:color w:val="000000"/>
        </w:rPr>
        <w:t xml:space="preserve">do korzystania z nieruchomości, wynikający z prawa własności, stosunku zobowiązaniowego (umowy dzierżawy, najmu), zgody na korzystanie z budynku lub terenu udzielonej przez jego właściciela lub w innej formie przewidzianej przepisami prawa. </w:t>
      </w:r>
    </w:p>
    <w:p w:rsidR="00F970CA" w:rsidRPr="00F720DF" w:rsidRDefault="00F970CA" w:rsidP="00F720DF">
      <w:pPr>
        <w:spacing w:after="0" w:line="240" w:lineRule="auto"/>
        <w:ind w:left="360"/>
        <w:jc w:val="both"/>
        <w:rPr>
          <w:color w:val="000000"/>
        </w:rPr>
      </w:pPr>
      <w:r w:rsidRPr="00F720DF">
        <w:rPr>
          <w:color w:val="000000"/>
        </w:rPr>
        <w:t xml:space="preserve">  </w:t>
      </w:r>
    </w:p>
    <w:p w:rsidR="00F970CA" w:rsidRPr="00F720DF" w:rsidRDefault="00F720DF" w:rsidP="00F970CA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F720DF">
        <w:rPr>
          <w:color w:val="000000"/>
        </w:rPr>
        <w:t xml:space="preserve">Ponadto odrzucono projekty, co do których istniały </w:t>
      </w:r>
      <w:r w:rsidRPr="00F720DF">
        <w:rPr>
          <w:b/>
          <w:color w:val="000000"/>
        </w:rPr>
        <w:t>duże wątpliwości co do możliwości ich realizacji</w:t>
      </w:r>
      <w:r w:rsidRPr="00F720DF">
        <w:rPr>
          <w:color w:val="000000"/>
        </w:rPr>
        <w:t xml:space="preserve">, np. nie zostały zgłoszone przez podmioty mogące je zrealizować w okresie obowiązywania rama czasowych programu rewitalizacji. </w:t>
      </w:r>
    </w:p>
    <w:p w:rsidR="00550C61" w:rsidRPr="00550C61" w:rsidRDefault="00550C61" w:rsidP="00550C61">
      <w:pPr>
        <w:spacing w:after="0" w:line="240" w:lineRule="auto"/>
        <w:rPr>
          <w:rFonts w:asciiTheme="minorHAnsi" w:hAnsiTheme="minorHAnsi"/>
          <w:b/>
          <w:lang w:eastAsia="pl-PL"/>
        </w:rPr>
        <w:sectPr w:rsidR="00550C61" w:rsidRPr="00550C61" w:rsidSect="00550C61">
          <w:headerReference w:type="default" r:id="rId8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CD7D77" w:rsidRPr="000E183D" w:rsidRDefault="001D623A" w:rsidP="00CD7D77">
      <w:pPr>
        <w:spacing w:before="100" w:beforeAutospacing="1" w:after="0" w:line="240" w:lineRule="auto"/>
        <w:contextualSpacing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lastRenderedPageBreak/>
        <w:t xml:space="preserve">LOKALNY </w:t>
      </w:r>
      <w:r w:rsidRPr="000E183D">
        <w:rPr>
          <w:b/>
          <w:sz w:val="28"/>
          <w:szCs w:val="28"/>
          <w:lang w:eastAsia="pl-PL"/>
        </w:rPr>
        <w:t>PROGRAM REWITALIZACJI</w:t>
      </w:r>
      <w:r w:rsidR="000E183D" w:rsidRPr="000E183D">
        <w:rPr>
          <w:b/>
          <w:sz w:val="28"/>
          <w:szCs w:val="28"/>
          <w:lang w:eastAsia="pl-PL"/>
        </w:rPr>
        <w:t xml:space="preserve"> DLA </w:t>
      </w:r>
      <w:r w:rsidR="005A141A">
        <w:rPr>
          <w:b/>
          <w:sz w:val="28"/>
          <w:szCs w:val="28"/>
          <w:lang w:eastAsia="pl-PL"/>
        </w:rPr>
        <w:t>MIASTA TARNOBRZEGA NA LATA 2016-2023</w:t>
      </w:r>
    </w:p>
    <w:p w:rsidR="007E2F7B" w:rsidRDefault="008C7BB7" w:rsidP="00022BF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ZBIORCZE ZESTAWIENIE UWAG, WNIOSKÓW I PROPOZYCJI  WRAZ ZE SPOSO</w:t>
      </w:r>
      <w:r w:rsidR="003C0DEC" w:rsidRPr="003C0DEC">
        <w:rPr>
          <w:b/>
          <w:color w:val="1F497D" w:themeColor="text2"/>
          <w:sz w:val="28"/>
          <w:szCs w:val="28"/>
        </w:rPr>
        <w:t>B</w:t>
      </w:r>
      <w:r>
        <w:rPr>
          <w:b/>
          <w:color w:val="1F497D" w:themeColor="text2"/>
          <w:sz w:val="28"/>
          <w:szCs w:val="28"/>
        </w:rPr>
        <w:t xml:space="preserve">EM ICH </w:t>
      </w:r>
      <w:r w:rsidR="003C0DEC" w:rsidRPr="003C0DEC">
        <w:rPr>
          <w:b/>
          <w:color w:val="1F497D" w:themeColor="text2"/>
          <w:sz w:val="28"/>
          <w:szCs w:val="28"/>
        </w:rPr>
        <w:t xml:space="preserve"> ROZPATRZENIA </w:t>
      </w:r>
    </w:p>
    <w:p w:rsidR="00806482" w:rsidRPr="003C0DEC" w:rsidRDefault="00806482" w:rsidP="00022BF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7E2F7B" w:rsidRPr="00BE00D8" w:rsidRDefault="007E2F7B" w:rsidP="00BF4F24">
      <w:pPr>
        <w:suppressAutoHyphens/>
        <w:spacing w:after="0" w:line="240" w:lineRule="auto"/>
        <w:rPr>
          <w:rFonts w:cs="Calibri"/>
          <w:i/>
          <w:color w:val="FF0000"/>
          <w:lang w:eastAsia="zh-CN"/>
        </w:rPr>
      </w:pPr>
    </w:p>
    <w:tbl>
      <w:tblPr>
        <w:tblW w:w="5699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391"/>
        <w:gridCol w:w="1134"/>
        <w:gridCol w:w="139"/>
        <w:gridCol w:w="995"/>
        <w:gridCol w:w="2126"/>
        <w:gridCol w:w="2693"/>
        <w:gridCol w:w="3688"/>
        <w:gridCol w:w="989"/>
        <w:gridCol w:w="2509"/>
      </w:tblGrid>
      <w:tr w:rsidR="00B37F71" w:rsidRPr="005938AD" w:rsidTr="00B52BFB">
        <w:trPr>
          <w:trHeight w:val="315"/>
          <w:tblHeader/>
        </w:trPr>
        <w:tc>
          <w:tcPr>
            <w:tcW w:w="167" w:type="pct"/>
            <w:vMerge w:val="restart"/>
            <w:shd w:val="clear" w:color="auto" w:fill="E6E6E6"/>
            <w:vAlign w:val="center"/>
          </w:tcPr>
          <w:p w:rsidR="007E2F7B" w:rsidRPr="005938AD" w:rsidRDefault="007E2F7B" w:rsidP="001D1E9E">
            <w:pPr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  <w:p w:rsidR="007E2F7B" w:rsidRPr="005938AD" w:rsidRDefault="007E2F7B" w:rsidP="001D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Zgłaszający uwagę</w:t>
            </w:r>
          </w:p>
        </w:tc>
        <w:tc>
          <w:tcPr>
            <w:tcW w:w="656" w:type="pct"/>
            <w:vMerge w:val="restart"/>
            <w:shd w:val="clear" w:color="auto" w:fill="E6E6E6"/>
          </w:tcPr>
          <w:p w:rsidR="00630DBB" w:rsidRDefault="00630DBB" w:rsidP="0068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E2F7B" w:rsidRDefault="00630DBB" w:rsidP="0068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(tekst) w </w:t>
            </w:r>
            <w:r w:rsidR="007E2F7B" w:rsidRPr="005938AD">
              <w:rPr>
                <w:sz w:val="20"/>
                <w:szCs w:val="20"/>
              </w:rPr>
              <w:t>dokumencie</w:t>
            </w:r>
            <w:r>
              <w:rPr>
                <w:sz w:val="20"/>
                <w:szCs w:val="20"/>
              </w:rPr>
              <w:t>/ prezentacji</w:t>
            </w:r>
            <w:r w:rsidR="007E2F7B" w:rsidRPr="005938AD">
              <w:rPr>
                <w:sz w:val="20"/>
                <w:szCs w:val="20"/>
              </w:rPr>
              <w:t>, d</w:t>
            </w:r>
            <w:r w:rsidR="007E2F7B">
              <w:rPr>
                <w:sz w:val="20"/>
                <w:szCs w:val="20"/>
              </w:rPr>
              <w:t>o której zgłaszana jest uwaga (</w:t>
            </w:r>
            <w:r w:rsidR="007E2F7B" w:rsidRPr="005938AD">
              <w:rPr>
                <w:sz w:val="20"/>
                <w:szCs w:val="20"/>
              </w:rPr>
              <w:t>rozdział, strona</w:t>
            </w:r>
            <w:r>
              <w:rPr>
                <w:sz w:val="20"/>
                <w:szCs w:val="20"/>
              </w:rPr>
              <w:t>, slajd</w:t>
            </w:r>
            <w:r w:rsidR="007E2F7B" w:rsidRPr="005938AD">
              <w:rPr>
                <w:sz w:val="20"/>
                <w:szCs w:val="20"/>
              </w:rPr>
              <w:t>)</w:t>
            </w:r>
          </w:p>
          <w:p w:rsidR="00F664DF" w:rsidRDefault="00F664DF" w:rsidP="0068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0DBB" w:rsidRPr="005938AD" w:rsidRDefault="00630DBB" w:rsidP="0068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 w:val="restar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Treść uwagi</w:t>
            </w:r>
            <w:r w:rsidR="00F664DF">
              <w:rPr>
                <w:sz w:val="20"/>
                <w:szCs w:val="20"/>
              </w:rPr>
              <w:t xml:space="preserve">, propozycji, opinii 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(propozycja zmian)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pct"/>
            <w:vMerge w:val="restar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Uzasadnienie uwagi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shd w:val="clear" w:color="auto" w:fill="D9D9D9" w:themeFill="background1" w:themeFillShade="D9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Przyjęcie uwagi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TAK/NIE</w:t>
            </w:r>
          </w:p>
        </w:tc>
        <w:tc>
          <w:tcPr>
            <w:tcW w:w="774" w:type="pct"/>
            <w:vMerge w:val="restart"/>
            <w:shd w:val="clear" w:color="auto" w:fill="D9D9D9" w:themeFill="background1" w:themeFillShade="D9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Uzasadnienie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Wykonawcy w przypadku odmowy uwzględnienia uwagi</w:t>
            </w:r>
          </w:p>
        </w:tc>
      </w:tr>
      <w:tr w:rsidR="003C0DEC" w:rsidRPr="005938AD" w:rsidTr="00B52BFB">
        <w:trPr>
          <w:trHeight w:val="1251"/>
          <w:tblHeader/>
        </w:trPr>
        <w:tc>
          <w:tcPr>
            <w:tcW w:w="167" w:type="pct"/>
            <w:vMerge/>
            <w:shd w:val="clear" w:color="auto" w:fill="E6E6E6"/>
          </w:tcPr>
          <w:p w:rsidR="007E2F7B" w:rsidRPr="005938AD" w:rsidRDefault="007E2F7B" w:rsidP="00251A15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E6E6E6"/>
            <w:vAlign w:val="center"/>
          </w:tcPr>
          <w:p w:rsidR="007E2F7B" w:rsidRPr="003C0DEC" w:rsidRDefault="007E2F7B" w:rsidP="00F24C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DEC">
              <w:rPr>
                <w:sz w:val="16"/>
                <w:szCs w:val="16"/>
              </w:rPr>
              <w:t>Imię, nazwisko (pełna nazwa w przypadku instytucji/przedsiębiorstwa/ jednostki),</w:t>
            </w:r>
          </w:p>
        </w:tc>
        <w:tc>
          <w:tcPr>
            <w:tcW w:w="350" w:type="pct"/>
            <w:shd w:val="clear" w:color="auto" w:fill="E6E6E6"/>
          </w:tcPr>
          <w:p w:rsidR="007E2F7B" w:rsidRPr="003C0DEC" w:rsidRDefault="007E2F7B" w:rsidP="00F24C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DEC">
              <w:rPr>
                <w:sz w:val="16"/>
                <w:szCs w:val="16"/>
              </w:rPr>
              <w:t>Adres zamieszkania (bądź siedziby, w przypadku instytucji/jednostki/przedsiębiorstwa)</w:t>
            </w:r>
          </w:p>
        </w:tc>
        <w:tc>
          <w:tcPr>
            <w:tcW w:w="350" w:type="pct"/>
            <w:gridSpan w:val="2"/>
            <w:shd w:val="clear" w:color="auto" w:fill="E6E6E6"/>
          </w:tcPr>
          <w:p w:rsidR="007E2F7B" w:rsidRPr="003C0DEC" w:rsidRDefault="007E2F7B" w:rsidP="00F24C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DEC">
              <w:rPr>
                <w:sz w:val="16"/>
                <w:szCs w:val="16"/>
              </w:rPr>
              <w:t>Adres e-mail, Telefon Kontaktowy</w:t>
            </w:r>
          </w:p>
        </w:tc>
        <w:tc>
          <w:tcPr>
            <w:tcW w:w="656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138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3C0DEC" w:rsidRPr="005938AD" w:rsidTr="00B52BFB">
        <w:trPr>
          <w:trHeight w:val="96"/>
          <w:tblHeader/>
        </w:trPr>
        <w:tc>
          <w:tcPr>
            <w:tcW w:w="167" w:type="pct"/>
            <w:vMerge/>
            <w:shd w:val="clear" w:color="auto" w:fill="E6E6E6"/>
          </w:tcPr>
          <w:p w:rsidR="007E2F7B" w:rsidRPr="007226B8" w:rsidRDefault="007E2F7B" w:rsidP="00BE421F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mallCaps/>
                <w:sz w:val="20"/>
                <w:lang w:eastAsia="en-US"/>
              </w:rPr>
            </w:pPr>
          </w:p>
        </w:tc>
        <w:tc>
          <w:tcPr>
            <w:tcW w:w="429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307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656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831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1138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8</w:t>
            </w:r>
          </w:p>
        </w:tc>
      </w:tr>
      <w:tr w:rsidR="003C0DEC" w:rsidRPr="00684041" w:rsidTr="00B52BFB">
        <w:trPr>
          <w:trHeight w:val="1573"/>
          <w:tblHeader/>
        </w:trPr>
        <w:tc>
          <w:tcPr>
            <w:tcW w:w="167" w:type="pct"/>
          </w:tcPr>
          <w:p w:rsidR="003C0DEC" w:rsidRPr="00684041" w:rsidRDefault="003C0DEC" w:rsidP="00076F5E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 w:rsidRPr="00684041">
              <w:rPr>
                <w:rFonts w:cs="Calibri"/>
                <w:smallCaps/>
                <w:sz w:val="20"/>
                <w:lang w:eastAsia="en-US"/>
              </w:rPr>
              <w:t>1.</w:t>
            </w:r>
          </w:p>
        </w:tc>
        <w:tc>
          <w:tcPr>
            <w:tcW w:w="1129" w:type="pct"/>
            <w:gridSpan w:val="4"/>
            <w:vMerge w:val="restart"/>
          </w:tcPr>
          <w:p w:rsidR="003C0DEC" w:rsidRPr="00E25CE2" w:rsidRDefault="003C0DEC" w:rsidP="00684041">
            <w:pPr>
              <w:suppressAutoHyphens/>
              <w:spacing w:after="160" w:line="252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E25CE2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Zgodnie z ustawą z dnia 29 sierpnia 1997 roku o ochronie danych osobowych (tj. Dz. U. z 2015 r. poz. 2135 z późn. zm.) dane kontaktowe osób zgłaszających uwagi nie podlegają upublicznieniu.</w:t>
            </w:r>
          </w:p>
          <w:p w:rsidR="003C0DEC" w:rsidRPr="00684041" w:rsidRDefault="003C0DEC" w:rsidP="00EF0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0DEC" w:rsidRPr="00684041" w:rsidRDefault="003C0DEC" w:rsidP="00EF0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0DEC" w:rsidRPr="00684041" w:rsidRDefault="003C0DEC" w:rsidP="00EF0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0DEC" w:rsidRPr="00684041" w:rsidRDefault="003C0DEC" w:rsidP="00EF0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0DEC" w:rsidRPr="00684041" w:rsidRDefault="003C0DEC" w:rsidP="00350C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0DEC" w:rsidRPr="00684041" w:rsidRDefault="003C0DEC" w:rsidP="003C0DEC">
            <w:pPr>
              <w:suppressAutoHyphens/>
              <w:spacing w:after="160" w:line="252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656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str. 7-8 pkt 2.2.</w:t>
            </w:r>
          </w:p>
        </w:tc>
        <w:tc>
          <w:tcPr>
            <w:tcW w:w="831" w:type="pct"/>
          </w:tcPr>
          <w:p w:rsidR="003C0DEC" w:rsidRPr="001D623A" w:rsidRDefault="003C0DEC" w:rsidP="0055587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 tekście podano niewłaściwy nr uchwały Rady Miasta Tarnobrzega oraz zamieszczon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o niewłaściwe fragmenty tekstu S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tudium odnośnie: celu studium i kierunków zagospodarowania</w:t>
            </w:r>
          </w:p>
        </w:tc>
        <w:tc>
          <w:tcPr>
            <w:tcW w:w="1138" w:type="pct"/>
          </w:tcPr>
          <w:p w:rsidR="003C0DEC" w:rsidRPr="001D623A" w:rsidRDefault="003C0DEC" w:rsidP="0055587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Uchwała RM Nr XXX/280/2016 została uchylona w całości rozstrzygnięciem nadzorczym Wojewody Podkarpackiego.</w:t>
            </w:r>
          </w:p>
          <w:p w:rsidR="003C0DEC" w:rsidRPr="001D623A" w:rsidRDefault="003C0DEC" w:rsidP="0055587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W dalszym 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ciągu obowiązującym w mieście „S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tudium” jest dokument z 2009 r. 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Default="00F720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Tak</w:t>
            </w:r>
          </w:p>
          <w:p w:rsidR="00783BDF" w:rsidRPr="00684041" w:rsidRDefault="00783B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zmieniono zapisy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3C0DEC" w:rsidRPr="00684041" w:rsidRDefault="003C0DEC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</w:tr>
      <w:tr w:rsidR="003C0DEC" w:rsidRPr="00684041" w:rsidTr="00B52BFB">
        <w:trPr>
          <w:trHeight w:val="955"/>
          <w:tblHeader/>
        </w:trPr>
        <w:tc>
          <w:tcPr>
            <w:tcW w:w="167" w:type="pct"/>
          </w:tcPr>
          <w:p w:rsidR="003C0DEC" w:rsidRPr="00684041" w:rsidRDefault="003C0DEC" w:rsidP="00076F5E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 w:rsidRPr="00684041">
              <w:rPr>
                <w:rFonts w:cs="Calibri"/>
                <w:smallCaps/>
                <w:sz w:val="20"/>
                <w:lang w:eastAsia="en-US"/>
              </w:rPr>
              <w:t>2.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656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str. 9 Mapa 1</w:t>
            </w:r>
          </w:p>
        </w:tc>
        <w:tc>
          <w:tcPr>
            <w:tcW w:w="831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 tekście zamieszczono niewłaściwą mapę kierunków zagospodarowania przestrzennego</w:t>
            </w:r>
          </w:p>
        </w:tc>
        <w:tc>
          <w:tcPr>
            <w:tcW w:w="1138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j.w.</w:t>
            </w:r>
          </w:p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Powinna zostać zamieszczona mapa kierunków z 2009 r.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Default="00F720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 xml:space="preserve">tak </w:t>
            </w:r>
          </w:p>
          <w:p w:rsidR="00783BDF" w:rsidRPr="00684041" w:rsidRDefault="00783B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zmieniono mapę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3C0DEC" w:rsidRPr="00684041" w:rsidRDefault="003C0DEC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</w:tr>
      <w:tr w:rsidR="003C0DEC" w:rsidRPr="00684041" w:rsidTr="00B52BFB">
        <w:trPr>
          <w:trHeight w:val="1938"/>
          <w:tblHeader/>
        </w:trPr>
        <w:tc>
          <w:tcPr>
            <w:tcW w:w="167" w:type="pct"/>
          </w:tcPr>
          <w:p w:rsidR="003C0DEC" w:rsidRPr="00684041" w:rsidRDefault="003C0DEC" w:rsidP="00076F5E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 w:rsidRPr="00684041">
              <w:rPr>
                <w:rFonts w:cs="Calibri"/>
                <w:smallCaps/>
                <w:sz w:val="20"/>
                <w:lang w:eastAsia="en-US"/>
              </w:rPr>
              <w:t>3.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656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str. 84 tiret pierwszy dot. Obszaru Natura PLB180005 Puszcza Sandomierska</w:t>
            </w:r>
          </w:p>
        </w:tc>
        <w:tc>
          <w:tcPr>
            <w:tcW w:w="831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Na terenie miasta nie wyznaczono obszaru PLB180005 Puszcza Sandomierska</w:t>
            </w:r>
          </w:p>
        </w:tc>
        <w:tc>
          <w:tcPr>
            <w:tcW w:w="1138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Źródło: Obszary Natura 2000 na Podkarpaciu, pod red. D. Rogała, A. Marcela, RDOŚ Rzeszów, Rzeszów 2012;</w:t>
            </w:r>
          </w:p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lub</w:t>
            </w:r>
          </w:p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Geoserwis GDOŚ http://geoserwis.gdos.gov.pl/mapy/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Pr="00684041" w:rsidRDefault="00F720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tak, usunięto zapis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3C0DEC" w:rsidRPr="00684041" w:rsidRDefault="003C0DEC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</w:tr>
      <w:tr w:rsidR="003C0DEC" w:rsidRPr="00684041" w:rsidTr="00B52BFB">
        <w:trPr>
          <w:trHeight w:val="900"/>
          <w:tblHeader/>
        </w:trPr>
        <w:tc>
          <w:tcPr>
            <w:tcW w:w="167" w:type="pct"/>
          </w:tcPr>
          <w:p w:rsidR="003C0DEC" w:rsidRPr="00684041" w:rsidRDefault="003C0DEC" w:rsidP="00076F5E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 w:rsidRPr="00684041">
              <w:rPr>
                <w:rFonts w:cs="Calibri"/>
                <w:smallCaps/>
                <w:sz w:val="20"/>
                <w:lang w:eastAsia="en-US"/>
              </w:rPr>
              <w:lastRenderedPageBreak/>
              <w:t>4.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656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str. 126 Infrastruktura turystyczna</w:t>
            </w:r>
          </w:p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tiret piąty dotyczący szlaku rowerowego Gorzyce – Jezioro Tarnobrzeskie – Gorzyce (ok. 60 km)</w:t>
            </w:r>
          </w:p>
        </w:tc>
        <w:tc>
          <w:tcPr>
            <w:tcW w:w="831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Nie ma takiego wyznaczonego szlaku rowerowego</w:t>
            </w:r>
          </w:p>
        </w:tc>
        <w:tc>
          <w:tcPr>
            <w:tcW w:w="1138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Taki szlak został opisany na portalu </w:t>
            </w:r>
            <w:r w:rsidRPr="00B52BFB">
              <w:rPr>
                <w:rFonts w:asciiTheme="minorHAnsi" w:eastAsia="Calibri" w:hAnsiTheme="minorHAnsi" w:cs="Calibri"/>
                <w:i/>
                <w:sz w:val="20"/>
                <w:szCs w:val="20"/>
                <w:lang w:eastAsia="zh-CN"/>
              </w:rPr>
              <w:t>tarnobrzeg.info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, jako propozycja wycieczki i za nim w projekcie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Studium 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Ui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KZP 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M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iasta Tarnobrzega niemniej ze względu na fakt, że nie jest on fizycznie wyznakowany w terenie nie powinien być wymieniany w opracowaniach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Pr="00684041" w:rsidRDefault="00F720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tak, usunięto zapis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3C0DEC" w:rsidRPr="00684041" w:rsidRDefault="00F720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 xml:space="preserve"> </w:t>
            </w:r>
          </w:p>
        </w:tc>
      </w:tr>
      <w:tr w:rsidR="003C0DEC" w:rsidRPr="00684041" w:rsidTr="00B52BFB">
        <w:trPr>
          <w:trHeight w:val="900"/>
          <w:tblHeader/>
        </w:trPr>
        <w:tc>
          <w:tcPr>
            <w:tcW w:w="167" w:type="pct"/>
          </w:tcPr>
          <w:p w:rsidR="003C0DEC" w:rsidRPr="00684041" w:rsidRDefault="003C0DEC" w:rsidP="00076F5E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 w:rsidRPr="00684041">
              <w:rPr>
                <w:rFonts w:cs="Calibri"/>
                <w:smallCaps/>
                <w:sz w:val="20"/>
                <w:lang w:eastAsia="en-US"/>
              </w:rPr>
              <w:t>5.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656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str. 180 Osiedle Przywiśle oraz inne miejsca w tekście odnoszące się do osiedla Przywiśle szczególnie w zakresie rewitalizacji lub docieplania budynków</w:t>
            </w:r>
          </w:p>
        </w:tc>
        <w:tc>
          <w:tcPr>
            <w:tcW w:w="831" w:type="pct"/>
          </w:tcPr>
          <w:p w:rsidR="003C0DEC" w:rsidRPr="001D623A" w:rsidRDefault="003C0DEC" w:rsidP="00076F5E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Osiedle Przywiśle zostało umieszczone na liście dóbr kultury współczesnej województwa podkarpackiego i w związku z powyższym planowane prace rewitalizacyjne powinny uwzględniać określony zakres ochrony np. poprzez wpisanie do LPR zaleceń w sprawie stosowanej kolorystyki budynków poddawanych termomodernizacji szczególnie tych widocznych od strony południowej od strony ul. Wisłostrada (ul. Skalna Góra nr nieparzyste 1-13)</w:t>
            </w:r>
          </w:p>
        </w:tc>
        <w:tc>
          <w:tcPr>
            <w:tcW w:w="1138" w:type="pct"/>
          </w:tcPr>
          <w:p w:rsidR="003C0DEC" w:rsidRPr="001D623A" w:rsidRDefault="003C0DEC" w:rsidP="002806C6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Źródło: Dobra kultury współczesnej w planie zagospodarowania przestrzennego województwa podkarpackiego Propozycje obiektów wraz z kryteriami wyboru, PBPP, 2011, s. 98</w:t>
            </w:r>
          </w:p>
          <w:p w:rsidR="003C0DEC" w:rsidRPr="001D623A" w:rsidRDefault="003C0DEC" w:rsidP="002806C6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http://www.pbpp.pl/opracowania/zakonczone/art-53.html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Pr="00684041" w:rsidRDefault="00F720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 xml:space="preserve">Nie 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F720DF" w:rsidRPr="00684041" w:rsidRDefault="00F720DF" w:rsidP="00076F5E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lokalny program rewitalizacji nie jest aktem prawa miejscowego</w:t>
            </w:r>
            <w:r w:rsidR="00783BDF">
              <w:rPr>
                <w:rFonts w:cs="Calibri"/>
                <w:smallCaps/>
                <w:sz w:val="20"/>
                <w:szCs w:val="20"/>
              </w:rPr>
              <w:t xml:space="preserve"> </w:t>
            </w:r>
          </w:p>
        </w:tc>
      </w:tr>
      <w:tr w:rsidR="003C0DEC" w:rsidRPr="00684041" w:rsidTr="00B52BFB">
        <w:trPr>
          <w:trHeight w:val="619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EC" w:rsidRPr="00684041" w:rsidRDefault="003C0DEC" w:rsidP="00350C9A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 w:rsidRPr="00684041">
              <w:rPr>
                <w:rFonts w:cs="Calibri"/>
                <w:smallCaps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str.261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Budowa torów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wioślarskich i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kajakarstwa górskiego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wraz z zapleczem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treningowo szkoleniowym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dla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wioślarzy i kajakarzy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nad Jeziorem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Tarnobrzeskim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C" w:rsidRPr="001D623A" w:rsidRDefault="003C0DEC" w:rsidP="00B52BFB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Budowa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Podkarpackiego Centrum Wioślarstwa 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i Kajakarstwa n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ad Jeziorem 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Tarnobrzeskim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C" w:rsidRPr="001D623A" w:rsidRDefault="001D623A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Proponuję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zmianę nazwy tego 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zadania, ponieważ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opisuje ona znacznie czytelnej jego 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cel, na który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składa się budowa zarówno torów do uprawiania wioślarstwa, kajakarstwa i kajakarstwa górskiego 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wraz odpowiednim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zapleczem treningowo-szkoleniowym.</w:t>
            </w:r>
          </w:p>
          <w:p w:rsidR="003C0DEC" w:rsidRPr="001D623A" w:rsidRDefault="001D623A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Pozwolę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sobie tez zwrócić uwagę, że prawidłowa nazwa 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projektu, jaki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zgłosiłem brzmiała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: B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udowa torów: wioślarskiego i kajakarstwa górskiego wraz z zapleczem treningowo-szkoleniowym dla wioślarzy i kajakarzy nad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Jeziorem Tarnobrzeskim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.</w:t>
            </w:r>
          </w:p>
          <w:p w:rsidR="003C0DEC" w:rsidRPr="001D623A" w:rsidRDefault="001D623A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Moją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oryginalną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nazwę zmieniono błędnie na: 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B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udowa torów wioślarskich i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kajakarstwa górskiego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wraz z zapleczem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treningowo szkoleniowym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dla wioślarzy i kajakarzy</w:t>
            </w:r>
          </w:p>
          <w:p w:rsidR="003C0DEC" w:rsidRPr="001D623A" w:rsidRDefault="003C0DEC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nad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Jeziorem Tarnobrzeskim </w:t>
            </w:r>
          </w:p>
          <w:p w:rsidR="003C0DEC" w:rsidRPr="001D623A" w:rsidRDefault="001D623A" w:rsidP="00350C9A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Nazwę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: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Budowa Podkarpackiego Cen</w:t>
            </w:r>
            <w:r w:rsidR="00B52BFB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trum Wioślarstwa i Kajakarstwa n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ad Jeziorem Tarnobrzeskim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uważam za optymalną i proszę o wprowadzenie jej do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LPR.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DEC" w:rsidRPr="00684041" w:rsidRDefault="00F720DF" w:rsidP="00350C9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 xml:space="preserve">tak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DEC" w:rsidRPr="00684041" w:rsidRDefault="003C0DEC" w:rsidP="00350C9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</w:tr>
      <w:tr w:rsidR="003C0DEC" w:rsidRPr="00684041" w:rsidTr="00B52BFB">
        <w:trPr>
          <w:trHeight w:val="90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EC" w:rsidRPr="00684041" w:rsidRDefault="003C0DEC" w:rsidP="00461C99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>
              <w:rPr>
                <w:rFonts w:cs="Calibri"/>
                <w:smallCaps/>
                <w:sz w:val="20"/>
                <w:lang w:eastAsia="en-US"/>
              </w:rPr>
              <w:t>7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C" w:rsidRPr="001D623A" w:rsidRDefault="003C0DEC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strona 79, dotyczy badania promieniowania elektromagnetycznego na terenie miasta Tarnobrzega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C" w:rsidRPr="001D623A" w:rsidRDefault="00B52BFB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U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wagi:</w:t>
            </w:r>
          </w:p>
          <w:p w:rsidR="003C0DEC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Proszę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o wiarygodne przeanalizowanie miejsca przeprowadzenia badania: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Osiedle Podzwierzyniec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, ul. Zwierzyniecka,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Osiedle Wystawa </w:t>
            </w:r>
          </w:p>
          <w:p w:rsidR="003C0DEC" w:rsidRPr="001D623A" w:rsidRDefault="003C0DEC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ul. 11 listopada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C" w:rsidRPr="001D623A" w:rsidRDefault="00F54D5D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Takie nazwy osiedli w mieście T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arnobrzegu nie funkcjonują. Proszę o analizę czy wynika to z pomyłki pisarskiej, czy błędnej analizy dokumentów i badań.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BDF" w:rsidRPr="00684041" w:rsidRDefault="00F54D5D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tak/</w:t>
            </w:r>
            <w:r w:rsidR="00783BDF">
              <w:rPr>
                <w:rFonts w:cs="Calibri"/>
                <w:smallCaps/>
                <w:sz w:val="20"/>
                <w:szCs w:val="20"/>
              </w:rPr>
              <w:t>nie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DEC" w:rsidRDefault="00F54D5D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powołano się na dane źródłowe, wskazano, że w przypisie dolnym, że w mat. źródłowym występuje błędne nazewnictwo</w:t>
            </w:r>
          </w:p>
          <w:p w:rsidR="008339E4" w:rsidRDefault="008339E4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8339E4" w:rsidRPr="00684041" w:rsidRDefault="008339E4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</w:tr>
      <w:tr w:rsidR="003C0DEC" w:rsidRPr="00684041" w:rsidTr="00B52BFB">
        <w:trPr>
          <w:trHeight w:val="900"/>
          <w:tblHeader/>
        </w:trPr>
        <w:tc>
          <w:tcPr>
            <w:tcW w:w="167" w:type="pct"/>
          </w:tcPr>
          <w:p w:rsidR="003C0DEC" w:rsidRPr="00684041" w:rsidRDefault="003C0DEC" w:rsidP="00461C99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>
              <w:rPr>
                <w:rFonts w:cs="Calibri"/>
                <w:smallCaps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</w:pPr>
          </w:p>
        </w:tc>
        <w:tc>
          <w:tcPr>
            <w:tcW w:w="656" w:type="pct"/>
          </w:tcPr>
          <w:p w:rsidR="003C0DEC" w:rsidRPr="001D623A" w:rsidRDefault="00C3442D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Strony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192, 195, 196 tzw. „literówki” m.in. dotyczące nazwy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Osiedla Serbinów 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strona 193 nazwa </w:t>
            </w:r>
            <w:r w:rsidR="00B52BFB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Kopalni Siarki Machów </w:t>
            </w:r>
          </w:p>
        </w:tc>
        <w:tc>
          <w:tcPr>
            <w:tcW w:w="831" w:type="pct"/>
          </w:tcPr>
          <w:p w:rsidR="003C0DEC" w:rsidRPr="001D623A" w:rsidRDefault="00B52BFB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Z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miany nazwy 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Sarbinów n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a Serbinów </w:t>
            </w:r>
          </w:p>
        </w:tc>
        <w:tc>
          <w:tcPr>
            <w:tcW w:w="1138" w:type="pct"/>
          </w:tcPr>
          <w:p w:rsidR="003C0DEC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Błędy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w nazwie osiedla powielane na kilku stronach opracowania 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Pr="00684041" w:rsidRDefault="001D623A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684041">
              <w:rPr>
                <w:rFonts w:cs="Calibri"/>
                <w:smallCaps/>
                <w:sz w:val="20"/>
                <w:szCs w:val="20"/>
              </w:rPr>
              <w:t>Tak</w:t>
            </w:r>
            <w:r w:rsidR="003C0DEC" w:rsidRPr="00684041">
              <w:rPr>
                <w:rFonts w:cs="Calibri"/>
                <w:smallCaps/>
                <w:sz w:val="20"/>
                <w:szCs w:val="20"/>
              </w:rPr>
              <w:t xml:space="preserve"> </w:t>
            </w:r>
          </w:p>
          <w:p w:rsidR="003C0DEC" w:rsidRPr="00684041" w:rsidRDefault="001D623A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684041">
              <w:rPr>
                <w:rFonts w:cs="Calibri"/>
                <w:smallCaps/>
                <w:sz w:val="20"/>
                <w:szCs w:val="20"/>
              </w:rPr>
              <w:t>Poprawiono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3C0DEC" w:rsidRPr="00684041" w:rsidRDefault="003C0DEC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</w:tr>
      <w:tr w:rsidR="003C0DEC" w:rsidRPr="00684041" w:rsidTr="00B52BFB">
        <w:trPr>
          <w:trHeight w:val="900"/>
          <w:tblHeader/>
        </w:trPr>
        <w:tc>
          <w:tcPr>
            <w:tcW w:w="167" w:type="pct"/>
          </w:tcPr>
          <w:p w:rsidR="003C0DEC" w:rsidRPr="00684041" w:rsidRDefault="003C0DEC" w:rsidP="00461C99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>
              <w:rPr>
                <w:rFonts w:cs="Calibri"/>
                <w:smallCaps/>
                <w:sz w:val="20"/>
                <w:lang w:eastAsia="en-US"/>
              </w:rPr>
              <w:t>9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</w:pPr>
          </w:p>
        </w:tc>
        <w:tc>
          <w:tcPr>
            <w:tcW w:w="656" w:type="pct"/>
          </w:tcPr>
          <w:p w:rsidR="003C0DEC" w:rsidRPr="001D623A" w:rsidRDefault="003C0DEC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Tytuł projektu: Specjalna Strefa rewitalizacji dotycząca mieszkalnictwa w Tarnobrzegu – diagnoza problemu społecznego </w:t>
            </w:r>
          </w:p>
          <w:p w:rsidR="003C0DEC" w:rsidRPr="001D623A" w:rsidRDefault="003C0DEC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  <w:p w:rsidR="003C0DEC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Strona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231, tabela punkt 9, kolumna dotycząca: podmiot zgłaszający </w:t>
            </w:r>
          </w:p>
        </w:tc>
        <w:tc>
          <w:tcPr>
            <w:tcW w:w="831" w:type="pct"/>
          </w:tcPr>
          <w:p w:rsidR="003C0DEC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Jako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podmiot zgłaszający proszę o wpisanie: Projekt zgłoszony przez mieszkańca w wyniku konsultacji społecznych </w:t>
            </w:r>
          </w:p>
        </w:tc>
        <w:tc>
          <w:tcPr>
            <w:tcW w:w="1138" w:type="pct"/>
          </w:tcPr>
          <w:p w:rsidR="003C0DEC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Projekt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został zgłoszony w ramach konsultacji społecznych przez najemcę mieszkania TTBS, a nie bezpośrednio przez same TTBS Sp. z o.o.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Pr="00684041" w:rsidRDefault="00F54D5D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Tak/nie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3C0DEC" w:rsidRPr="00684041" w:rsidRDefault="00F54D5D" w:rsidP="009A3528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projekt nie został uwzględniony w programie rewitalizacji, gdyż został zgłoszony jako propozycja projektowa, której realizacja przypisano jest ttbs sp. z o.o</w:t>
            </w:r>
            <w:r w:rsidR="009A3528">
              <w:rPr>
                <w:rFonts w:cs="Calibri"/>
                <w:smallCaps/>
                <w:sz w:val="20"/>
                <w:szCs w:val="20"/>
              </w:rPr>
              <w:t xml:space="preserve">. ujęcie takiego projektu w lpr </w:t>
            </w:r>
            <w:r>
              <w:rPr>
                <w:rFonts w:cs="Calibri"/>
                <w:smallCaps/>
                <w:sz w:val="20"/>
                <w:szCs w:val="20"/>
              </w:rPr>
              <w:t xml:space="preserve">wymaga uzyskania zgody podmiotu, który może projekt realizować. </w:t>
            </w:r>
          </w:p>
        </w:tc>
      </w:tr>
      <w:tr w:rsidR="003C0DEC" w:rsidRPr="00684041" w:rsidTr="00B52BFB">
        <w:trPr>
          <w:trHeight w:val="900"/>
          <w:tblHeader/>
        </w:trPr>
        <w:tc>
          <w:tcPr>
            <w:tcW w:w="167" w:type="pct"/>
          </w:tcPr>
          <w:p w:rsidR="003C0DEC" w:rsidRPr="00684041" w:rsidRDefault="003C0DEC" w:rsidP="00461C99">
            <w:pPr>
              <w:pStyle w:val="Akapitzlist"/>
              <w:spacing w:after="0" w:line="240" w:lineRule="auto"/>
              <w:ind w:left="0"/>
              <w:rPr>
                <w:rFonts w:cs="Calibri"/>
                <w:smallCaps/>
                <w:sz w:val="20"/>
                <w:lang w:eastAsia="en-US"/>
              </w:rPr>
            </w:pPr>
            <w:r>
              <w:rPr>
                <w:rFonts w:cs="Calibri"/>
                <w:smallCaps/>
                <w:sz w:val="20"/>
                <w:lang w:eastAsia="en-US"/>
              </w:rPr>
              <w:t>10</w:t>
            </w:r>
          </w:p>
        </w:tc>
        <w:tc>
          <w:tcPr>
            <w:tcW w:w="1129" w:type="pct"/>
            <w:gridSpan w:val="4"/>
            <w:vMerge/>
          </w:tcPr>
          <w:p w:rsidR="003C0DEC" w:rsidRPr="00684041" w:rsidRDefault="003C0DEC" w:rsidP="00461C99">
            <w:pPr>
              <w:spacing w:after="0" w:line="240" w:lineRule="auto"/>
            </w:pPr>
          </w:p>
        </w:tc>
        <w:tc>
          <w:tcPr>
            <w:tcW w:w="656" w:type="pct"/>
          </w:tcPr>
          <w:p w:rsidR="003C0DEC" w:rsidRPr="001D623A" w:rsidRDefault="003C0DEC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Brak w opracowaniu zgłoszonego przez mieszkańca Tarnobrzega projektu dotyczącego rewitalizacji budynku dworca kolejowego w tarnobrzegu  </w:t>
            </w:r>
          </w:p>
        </w:tc>
        <w:tc>
          <w:tcPr>
            <w:tcW w:w="831" w:type="pct"/>
          </w:tcPr>
          <w:p w:rsidR="003C0DEC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Projekt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zgłoszony w ramach konsultacji społecznych. Brak tego projektu w opracowaniu. </w:t>
            </w:r>
          </w:p>
          <w:p w:rsidR="003C0DEC" w:rsidRPr="001D623A" w:rsidRDefault="003C0DEC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  <w:p w:rsidR="003C0DEC" w:rsidRPr="001D623A" w:rsidRDefault="003C0DEC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Rewitalizacja oraz optymalne wykorzystanie budynku dworca kolejowego dla potrzeb miasta i mieszkańców z uwzględnieniem jego ponad stuletniej historycznej wartości budynku. </w:t>
            </w:r>
          </w:p>
        </w:tc>
        <w:tc>
          <w:tcPr>
            <w:tcW w:w="1138" w:type="pct"/>
          </w:tcPr>
          <w:p w:rsidR="003C0DEC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>Budynek</w:t>
            </w:r>
            <w:r w:rsidR="003C0DEC"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dworca kolejowego, jego remont</w:t>
            </w: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 i modernizacja stanowi jeden z kluczowych punktów na terenie miasta. Władze miasta powinny podjąć działania zmierzające do przejęcia dworca od Kolei Państwowych. Obecnie budynek stanowi zagrożenie dla mieszkańców, brak funkcji użyteczności publicznej: zabytkowej, usługowej, reprezentacyjnej dla miasta. Potrzeba pilnego wdrożenia zamierzeń naprawczych dotyczących budynku dworca kolejowego dla miasta. </w:t>
            </w:r>
          </w:p>
          <w:p w:rsidR="001D623A" w:rsidRPr="001D623A" w:rsidRDefault="001D623A" w:rsidP="00461C99">
            <w:pPr>
              <w:spacing w:after="0"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  <w:r w:rsidRPr="001D623A"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  <w:t xml:space="preserve">Teren i budynek istotny z punktu widzenia komunikacyjnego rozwoju miasta, obecny teren i stan budynku bez swoich funkcji usługowych i użytecznych pogarsza wizerunek i funkcjonalność tego terenu. 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3C0DEC" w:rsidRPr="00684041" w:rsidRDefault="00F54D5D" w:rsidP="00461C99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nie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3C0DEC" w:rsidRPr="00684041" w:rsidRDefault="00F54D5D" w:rsidP="00AC5085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projekt nie został ujęty w programie rewitalizacji, gdyż jego realizacja przez miasto wymaga szeregu innych działań w tym przejęcia gruntów</w:t>
            </w:r>
            <w:r w:rsidR="0046684E">
              <w:rPr>
                <w:rFonts w:cs="Calibri"/>
                <w:smallCaps/>
                <w:sz w:val="20"/>
                <w:szCs w:val="20"/>
              </w:rPr>
              <w:t xml:space="preserve"> i</w:t>
            </w:r>
            <w:r w:rsidR="00AC5085">
              <w:rPr>
                <w:rFonts w:cs="Calibri"/>
                <w:smallCap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C5085">
              <w:rPr>
                <w:rFonts w:cs="Calibri"/>
                <w:smallCaps/>
                <w:sz w:val="20"/>
                <w:szCs w:val="20"/>
              </w:rPr>
              <w:t>budynków</w:t>
            </w:r>
            <w:r w:rsidRPr="009A3528">
              <w:rPr>
                <w:rFonts w:cs="Calibri"/>
                <w:smallCaps/>
                <w:sz w:val="20"/>
                <w:szCs w:val="20"/>
              </w:rPr>
              <w:t xml:space="preserve">. </w:t>
            </w:r>
            <w:r w:rsidR="00AC5085">
              <w:rPr>
                <w:rFonts w:cs="Calibri"/>
                <w:smallCaps/>
                <w:sz w:val="20"/>
                <w:szCs w:val="20"/>
              </w:rPr>
              <w:t xml:space="preserve">W </w:t>
            </w:r>
            <w:r>
              <w:rPr>
                <w:rFonts w:cs="Calibri"/>
                <w:smallCaps/>
                <w:sz w:val="20"/>
                <w:szCs w:val="20"/>
              </w:rPr>
              <w:t xml:space="preserve">perspektywie czasowej przewidzianej dla programu rewitalizacji realizacja tego projektu nie byłaby możliwa. </w:t>
            </w:r>
          </w:p>
        </w:tc>
      </w:tr>
    </w:tbl>
    <w:p w:rsidR="00F90863" w:rsidRPr="00684041" w:rsidRDefault="00F90863" w:rsidP="006746EE">
      <w:pPr>
        <w:spacing w:after="0"/>
      </w:pPr>
    </w:p>
    <w:sectPr w:rsidR="00F90863" w:rsidRPr="00684041" w:rsidSect="005938A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2FD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44" w:rsidRDefault="00D74944" w:rsidP="00022BF1">
      <w:pPr>
        <w:spacing w:after="0" w:line="240" w:lineRule="auto"/>
      </w:pPr>
      <w:r>
        <w:separator/>
      </w:r>
    </w:p>
  </w:endnote>
  <w:endnote w:type="continuationSeparator" w:id="1">
    <w:p w:rsidR="00D74944" w:rsidRDefault="00D74944" w:rsidP="000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44" w:rsidRDefault="00D74944" w:rsidP="00022BF1">
      <w:pPr>
        <w:spacing w:after="0" w:line="240" w:lineRule="auto"/>
      </w:pPr>
      <w:r>
        <w:separator/>
      </w:r>
    </w:p>
  </w:footnote>
  <w:footnote w:type="continuationSeparator" w:id="1">
    <w:p w:rsidR="00D74944" w:rsidRDefault="00D74944" w:rsidP="0002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9C" w:rsidRPr="004D379C" w:rsidRDefault="005A141A" w:rsidP="004D379C">
    <w:pPr>
      <w:spacing w:after="0" w:line="240" w:lineRule="auto"/>
      <w:jc w:val="center"/>
      <w:rPr>
        <w:rFonts w:ascii="Cambria" w:hAnsi="Cambria" w:cs="DejaVu Sans"/>
        <w:sz w:val="26"/>
        <w:szCs w:val="26"/>
        <w:lang w:eastAsia="pl-PL"/>
      </w:rPr>
    </w:pPr>
    <w:r w:rsidRPr="005A141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>
          <wp:extent cx="5759750" cy="750196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BF1" w:rsidRDefault="00022BF1" w:rsidP="00022BF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98A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D46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5E6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90F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A8B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C21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06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AA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A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966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5508A"/>
    <w:multiLevelType w:val="hybridMultilevel"/>
    <w:tmpl w:val="CB7A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EE34FA8"/>
    <w:multiLevelType w:val="hybridMultilevel"/>
    <w:tmpl w:val="4E98A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E3A3C"/>
    <w:multiLevelType w:val="hybridMultilevel"/>
    <w:tmpl w:val="94C4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7FD1"/>
    <w:multiLevelType w:val="hybridMultilevel"/>
    <w:tmpl w:val="999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5B64"/>
    <w:multiLevelType w:val="hybridMultilevel"/>
    <w:tmpl w:val="8E44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C46B4"/>
    <w:multiLevelType w:val="hybridMultilevel"/>
    <w:tmpl w:val="26AE25CE"/>
    <w:lvl w:ilvl="0" w:tplc="701A0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7E6A4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6300C6"/>
    <w:multiLevelType w:val="hybridMultilevel"/>
    <w:tmpl w:val="A75A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B03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Karłowski">
    <w15:presenceInfo w15:providerId="Windows Live" w15:userId="4eabf6f990385a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232A"/>
    <w:rsid w:val="000013AA"/>
    <w:rsid w:val="00022BF1"/>
    <w:rsid w:val="00076F5E"/>
    <w:rsid w:val="0009546A"/>
    <w:rsid w:val="000D6FB2"/>
    <w:rsid w:val="000E183D"/>
    <w:rsid w:val="00125C94"/>
    <w:rsid w:val="00130481"/>
    <w:rsid w:val="0014741A"/>
    <w:rsid w:val="00163558"/>
    <w:rsid w:val="001D1E9E"/>
    <w:rsid w:val="001D623A"/>
    <w:rsid w:val="002031BC"/>
    <w:rsid w:val="00227650"/>
    <w:rsid w:val="00251A15"/>
    <w:rsid w:val="00254CD6"/>
    <w:rsid w:val="002806C6"/>
    <w:rsid w:val="002C183E"/>
    <w:rsid w:val="002E3DA4"/>
    <w:rsid w:val="003228CB"/>
    <w:rsid w:val="00324BCC"/>
    <w:rsid w:val="0038102D"/>
    <w:rsid w:val="003903EF"/>
    <w:rsid w:val="003C0DEC"/>
    <w:rsid w:val="003C6E13"/>
    <w:rsid w:val="00442727"/>
    <w:rsid w:val="004472CD"/>
    <w:rsid w:val="00454B47"/>
    <w:rsid w:val="0046684E"/>
    <w:rsid w:val="00476242"/>
    <w:rsid w:val="004D379C"/>
    <w:rsid w:val="004D6989"/>
    <w:rsid w:val="004E33B3"/>
    <w:rsid w:val="00550C61"/>
    <w:rsid w:val="00555879"/>
    <w:rsid w:val="00566333"/>
    <w:rsid w:val="005938AD"/>
    <w:rsid w:val="005A141A"/>
    <w:rsid w:val="005A21D8"/>
    <w:rsid w:val="005D72B3"/>
    <w:rsid w:val="005F721E"/>
    <w:rsid w:val="00630DBB"/>
    <w:rsid w:val="006746EE"/>
    <w:rsid w:val="00684041"/>
    <w:rsid w:val="00687BEF"/>
    <w:rsid w:val="00696383"/>
    <w:rsid w:val="0070334B"/>
    <w:rsid w:val="0071358E"/>
    <w:rsid w:val="007201B6"/>
    <w:rsid w:val="007226B8"/>
    <w:rsid w:val="007275D0"/>
    <w:rsid w:val="00765900"/>
    <w:rsid w:val="00783BDF"/>
    <w:rsid w:val="007A4840"/>
    <w:rsid w:val="007A6685"/>
    <w:rsid w:val="007E2F7B"/>
    <w:rsid w:val="007F1AB3"/>
    <w:rsid w:val="00806482"/>
    <w:rsid w:val="00816D8C"/>
    <w:rsid w:val="00825CA6"/>
    <w:rsid w:val="008339E4"/>
    <w:rsid w:val="0085197C"/>
    <w:rsid w:val="0088128B"/>
    <w:rsid w:val="008B6937"/>
    <w:rsid w:val="008C7BB7"/>
    <w:rsid w:val="008D56BC"/>
    <w:rsid w:val="009045EC"/>
    <w:rsid w:val="009235E9"/>
    <w:rsid w:val="00974F16"/>
    <w:rsid w:val="009A3528"/>
    <w:rsid w:val="009B4FFB"/>
    <w:rsid w:val="009D015A"/>
    <w:rsid w:val="009D123A"/>
    <w:rsid w:val="00A7418A"/>
    <w:rsid w:val="00A7550C"/>
    <w:rsid w:val="00AA232A"/>
    <w:rsid w:val="00AB3954"/>
    <w:rsid w:val="00AC1C27"/>
    <w:rsid w:val="00AC5085"/>
    <w:rsid w:val="00AE10BC"/>
    <w:rsid w:val="00B26A87"/>
    <w:rsid w:val="00B37F71"/>
    <w:rsid w:val="00B52BFB"/>
    <w:rsid w:val="00B62FDC"/>
    <w:rsid w:val="00B943BB"/>
    <w:rsid w:val="00BE00D8"/>
    <w:rsid w:val="00BE0A28"/>
    <w:rsid w:val="00BE421F"/>
    <w:rsid w:val="00BF4F24"/>
    <w:rsid w:val="00C305ED"/>
    <w:rsid w:val="00C318BA"/>
    <w:rsid w:val="00C3442D"/>
    <w:rsid w:val="00C44B58"/>
    <w:rsid w:val="00C64885"/>
    <w:rsid w:val="00C821B3"/>
    <w:rsid w:val="00CD7D77"/>
    <w:rsid w:val="00CF71FC"/>
    <w:rsid w:val="00D2059C"/>
    <w:rsid w:val="00D41497"/>
    <w:rsid w:val="00D74944"/>
    <w:rsid w:val="00DB1337"/>
    <w:rsid w:val="00DB2D2D"/>
    <w:rsid w:val="00E15F2E"/>
    <w:rsid w:val="00E57C70"/>
    <w:rsid w:val="00E643E6"/>
    <w:rsid w:val="00E843F1"/>
    <w:rsid w:val="00ED5F2E"/>
    <w:rsid w:val="00F24CC9"/>
    <w:rsid w:val="00F25684"/>
    <w:rsid w:val="00F54D5D"/>
    <w:rsid w:val="00F664DF"/>
    <w:rsid w:val="00F720DF"/>
    <w:rsid w:val="00F90863"/>
    <w:rsid w:val="00F9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A232A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31B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31B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31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31B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31B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31BC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31BC"/>
    <w:rPr>
      <w:rFonts w:ascii="Cambria" w:hAnsi="Cambria" w:cs="Times New Roman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31BC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ny"/>
    <w:uiPriority w:val="99"/>
    <w:qFormat/>
    <w:rsid w:val="00203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2031BC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031BC"/>
    <w:rPr>
      <w:rFonts w:ascii="Calibri Light" w:hAnsi="Calibri Light" w:cs="Times New Roman"/>
      <w:spacing w:val="-10"/>
      <w:kern w:val="28"/>
      <w:sz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031BC"/>
    <w:pPr>
      <w:numPr>
        <w:ilvl w:val="1"/>
      </w:numPr>
      <w:spacing w:line="259" w:lineRule="auto"/>
    </w:pPr>
    <w:rPr>
      <w:rFonts w:eastAsia="Calibri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031BC"/>
    <w:rPr>
      <w:rFonts w:ascii="Calibri" w:hAnsi="Calibri" w:cs="Times New Roman"/>
      <w:color w:val="5A5A5A"/>
      <w:spacing w:val="15"/>
      <w:sz w:val="22"/>
    </w:rPr>
  </w:style>
  <w:style w:type="character" w:styleId="Pogrubienie">
    <w:name w:val="Strong"/>
    <w:basedOn w:val="Domylnaczcionkaakapitu"/>
    <w:uiPriority w:val="99"/>
    <w:qFormat/>
    <w:rsid w:val="002031B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031BC"/>
    <w:rPr>
      <w:rFonts w:cs="Times New Roman"/>
      <w:i/>
    </w:rPr>
  </w:style>
  <w:style w:type="paragraph" w:styleId="Bezodstpw">
    <w:name w:val="No Spacing"/>
    <w:link w:val="BezodstpwZnak"/>
    <w:uiPriority w:val="1"/>
    <w:qFormat/>
    <w:rsid w:val="002031BC"/>
    <w:pPr>
      <w:suppressAutoHyphens/>
    </w:pPr>
    <w:rPr>
      <w:rFonts w:ascii="Calibri" w:hAnsi="Calibri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2031BC"/>
    <w:rPr>
      <w:rFonts w:ascii="Calibri" w:hAnsi="Calibri"/>
      <w:sz w:val="22"/>
      <w:lang w:eastAsia="zh-CN"/>
    </w:rPr>
  </w:style>
  <w:style w:type="paragraph" w:styleId="Akapitzlist">
    <w:name w:val="List Paragraph"/>
    <w:aliases w:val="Akapit z listą 1,Chorzów - Akapit z listą,Akapit z listą1,Tekst punktowanie,List Paragraph,Punktor - wymiennik"/>
    <w:basedOn w:val="Normalny"/>
    <w:link w:val="AkapitzlistZnak"/>
    <w:uiPriority w:val="34"/>
    <w:qFormat/>
    <w:rsid w:val="002031BC"/>
    <w:pPr>
      <w:ind w:left="720"/>
    </w:pPr>
    <w:rPr>
      <w:rFonts w:eastAsia="Calibri"/>
      <w:szCs w:val="20"/>
      <w:lang w:eastAsia="zh-CN"/>
    </w:rPr>
  </w:style>
  <w:style w:type="character" w:customStyle="1" w:styleId="AkapitzlistZnak">
    <w:name w:val="Akapit z listą Znak"/>
    <w:aliases w:val="Akapit z listą 1 Znak,Chorzów - Akapit z listą Znak,Akapit z listą1 Znak,Tekst punktowanie Znak,List Paragraph Znak,Punktor - wymiennik Znak"/>
    <w:link w:val="Akapitzlist"/>
    <w:uiPriority w:val="99"/>
    <w:qFormat/>
    <w:locked/>
    <w:rsid w:val="002031BC"/>
    <w:rPr>
      <w:rFonts w:ascii="Calibri" w:hAnsi="Calibri"/>
      <w:sz w:val="22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031BC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5B9BD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031BC"/>
    <w:rPr>
      <w:rFonts w:ascii="Calibri" w:hAnsi="Calibri" w:cs="Times New Roman"/>
      <w:i/>
      <w:color w:val="5B9BD5"/>
      <w:sz w:val="22"/>
    </w:rPr>
  </w:style>
  <w:style w:type="character" w:styleId="Wyrnieniedelikatne">
    <w:name w:val="Subtle Emphasis"/>
    <w:basedOn w:val="Domylnaczcionkaakapitu"/>
    <w:uiPriority w:val="99"/>
    <w:qFormat/>
    <w:rsid w:val="002031BC"/>
    <w:rPr>
      <w:rFonts w:cs="Times New Roman"/>
      <w:i/>
      <w:iCs/>
      <w:color w:val="404040"/>
    </w:rPr>
  </w:style>
  <w:style w:type="paragraph" w:styleId="Nagwekspisutreci">
    <w:name w:val="TOC Heading"/>
    <w:basedOn w:val="Nagwek1"/>
    <w:next w:val="Normalny"/>
    <w:uiPriority w:val="99"/>
    <w:qFormat/>
    <w:rsid w:val="002031BC"/>
    <w:pPr>
      <w:tabs>
        <w:tab w:val="clear" w:pos="432"/>
      </w:tabs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A232A"/>
    <w:pPr>
      <w:spacing w:before="20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232A"/>
    <w:rPr>
      <w:rFonts w:eastAsia="Times New Roman" w:cs="Times New Roman"/>
      <w:lang w:val="en-US"/>
    </w:rPr>
  </w:style>
  <w:style w:type="paragraph" w:customStyle="1" w:styleId="Default">
    <w:name w:val="Default"/>
    <w:uiPriority w:val="99"/>
    <w:rsid w:val="00AA232A"/>
    <w:pPr>
      <w:autoSpaceDE w:val="0"/>
      <w:autoSpaceDN w:val="0"/>
      <w:adjustRightInd w:val="0"/>
      <w:spacing w:before="200" w:after="200" w:line="276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AA232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D72B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C6E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43F1"/>
    <w:rPr>
      <w:rFonts w:ascii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BF1"/>
    <w:rPr>
      <w:rFonts w:ascii="Calibri" w:eastAsia="Times New Roman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1A"/>
    <w:pPr>
      <w:spacing w:before="0" w:after="200"/>
    </w:pPr>
    <w:rPr>
      <w:rFonts w:ascii="Calibri" w:hAnsi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1A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,Podrozdział1,FOOTNOTES,o,fn,Znak Zn"/>
    <w:basedOn w:val="Normalny"/>
    <w:link w:val="TekstprzypisudolnegoZnak"/>
    <w:uiPriority w:val="99"/>
    <w:unhideWhenUsed/>
    <w:rsid w:val="008339E4"/>
    <w:pPr>
      <w:spacing w:after="0" w:line="240" w:lineRule="auto"/>
    </w:pPr>
    <w:rPr>
      <w:rFonts w:asciiTheme="minorHAnsi" w:eastAsiaTheme="minorEastAsia" w:hAnsiTheme="minorHAnsi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8339E4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A232A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31B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31B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31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31B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31B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31BC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31BC"/>
    <w:rPr>
      <w:rFonts w:ascii="Cambria" w:hAnsi="Cambria" w:cs="Times New Roman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31BC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ny"/>
    <w:uiPriority w:val="99"/>
    <w:qFormat/>
    <w:rsid w:val="00203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2031BC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031BC"/>
    <w:rPr>
      <w:rFonts w:ascii="Calibri Light" w:hAnsi="Calibri Light" w:cs="Times New Roman"/>
      <w:spacing w:val="-10"/>
      <w:kern w:val="28"/>
      <w:sz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031BC"/>
    <w:pPr>
      <w:numPr>
        <w:ilvl w:val="1"/>
      </w:numPr>
      <w:spacing w:line="259" w:lineRule="auto"/>
    </w:pPr>
    <w:rPr>
      <w:rFonts w:eastAsia="Calibri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031BC"/>
    <w:rPr>
      <w:rFonts w:ascii="Calibri" w:hAnsi="Calibri" w:cs="Times New Roman"/>
      <w:color w:val="5A5A5A"/>
      <w:spacing w:val="15"/>
      <w:sz w:val="22"/>
    </w:rPr>
  </w:style>
  <w:style w:type="character" w:styleId="Pogrubienie">
    <w:name w:val="Strong"/>
    <w:basedOn w:val="Domylnaczcionkaakapitu"/>
    <w:uiPriority w:val="99"/>
    <w:qFormat/>
    <w:rsid w:val="002031B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031BC"/>
    <w:rPr>
      <w:rFonts w:cs="Times New Roman"/>
      <w:i/>
    </w:rPr>
  </w:style>
  <w:style w:type="paragraph" w:styleId="Bezodstpw">
    <w:name w:val="No Spacing"/>
    <w:link w:val="BezodstpwZnak"/>
    <w:uiPriority w:val="1"/>
    <w:qFormat/>
    <w:rsid w:val="002031BC"/>
    <w:pPr>
      <w:suppressAutoHyphens/>
    </w:pPr>
    <w:rPr>
      <w:rFonts w:ascii="Calibri" w:hAnsi="Calibri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2031BC"/>
    <w:rPr>
      <w:rFonts w:ascii="Calibri" w:hAnsi="Calibri"/>
      <w:sz w:val="22"/>
      <w:lang w:eastAsia="zh-CN"/>
    </w:rPr>
  </w:style>
  <w:style w:type="paragraph" w:styleId="Akapitzlist">
    <w:name w:val="List Paragraph"/>
    <w:aliases w:val="Akapit z listą 1,Chorzów - Akapit z listą,Akapit z listą1,Tekst punktowanie,List Paragraph,Punktor - wymiennik"/>
    <w:basedOn w:val="Normalny"/>
    <w:link w:val="AkapitzlistZnak"/>
    <w:uiPriority w:val="34"/>
    <w:qFormat/>
    <w:rsid w:val="002031BC"/>
    <w:pPr>
      <w:ind w:left="720"/>
    </w:pPr>
    <w:rPr>
      <w:rFonts w:eastAsia="Calibri"/>
      <w:szCs w:val="20"/>
      <w:lang w:eastAsia="zh-CN"/>
    </w:rPr>
  </w:style>
  <w:style w:type="character" w:customStyle="1" w:styleId="AkapitzlistZnak">
    <w:name w:val="Akapit z listą Znak"/>
    <w:aliases w:val="Akapit z listą 1 Znak,Chorzów - Akapit z listą Znak,Akapit z listą1 Znak,Tekst punktowanie Znak,List Paragraph Znak,Punktor - wymiennik Znak"/>
    <w:link w:val="Akapitzlist"/>
    <w:uiPriority w:val="99"/>
    <w:qFormat/>
    <w:locked/>
    <w:rsid w:val="002031BC"/>
    <w:rPr>
      <w:rFonts w:ascii="Calibri" w:hAnsi="Calibri"/>
      <w:sz w:val="22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031BC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5B9BD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031BC"/>
    <w:rPr>
      <w:rFonts w:ascii="Calibri" w:hAnsi="Calibri" w:cs="Times New Roman"/>
      <w:i/>
      <w:color w:val="5B9BD5"/>
      <w:sz w:val="22"/>
    </w:rPr>
  </w:style>
  <w:style w:type="character" w:styleId="Wyrnieniedelikatne">
    <w:name w:val="Subtle Emphasis"/>
    <w:basedOn w:val="Domylnaczcionkaakapitu"/>
    <w:uiPriority w:val="99"/>
    <w:qFormat/>
    <w:rsid w:val="002031BC"/>
    <w:rPr>
      <w:rFonts w:cs="Times New Roman"/>
      <w:i/>
      <w:iCs/>
      <w:color w:val="404040"/>
    </w:rPr>
  </w:style>
  <w:style w:type="paragraph" w:styleId="Nagwekspisutreci">
    <w:name w:val="TOC Heading"/>
    <w:basedOn w:val="Nagwek1"/>
    <w:next w:val="Normalny"/>
    <w:uiPriority w:val="99"/>
    <w:qFormat/>
    <w:rsid w:val="002031BC"/>
    <w:pPr>
      <w:tabs>
        <w:tab w:val="clear" w:pos="432"/>
      </w:tabs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A232A"/>
    <w:pPr>
      <w:spacing w:before="20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232A"/>
    <w:rPr>
      <w:rFonts w:eastAsia="Times New Roman" w:cs="Times New Roman"/>
      <w:lang w:val="en-US"/>
    </w:rPr>
  </w:style>
  <w:style w:type="paragraph" w:customStyle="1" w:styleId="Default">
    <w:name w:val="Default"/>
    <w:uiPriority w:val="99"/>
    <w:rsid w:val="00AA232A"/>
    <w:pPr>
      <w:autoSpaceDE w:val="0"/>
      <w:autoSpaceDN w:val="0"/>
      <w:adjustRightInd w:val="0"/>
      <w:spacing w:before="200" w:after="200" w:line="276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AA232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D72B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C6E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43F1"/>
    <w:rPr>
      <w:rFonts w:ascii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BF1"/>
    <w:rPr>
      <w:rFonts w:ascii="Calibri" w:eastAsia="Times New Roman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1A"/>
    <w:pPr>
      <w:spacing w:before="0" w:after="200"/>
    </w:pPr>
    <w:rPr>
      <w:rFonts w:ascii="Calibri" w:hAnsi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1A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,Podrozdział1,FOOTNOTES,o,fn,Znak Zn"/>
    <w:basedOn w:val="Normalny"/>
    <w:link w:val="TekstprzypisudolnegoZnak"/>
    <w:uiPriority w:val="99"/>
    <w:unhideWhenUsed/>
    <w:rsid w:val="008339E4"/>
    <w:pPr>
      <w:spacing w:after="0" w:line="240" w:lineRule="auto"/>
    </w:pPr>
    <w:rPr>
      <w:rFonts w:asciiTheme="minorHAnsi" w:eastAsiaTheme="minorEastAsia" w:hAnsiTheme="minorHAnsi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8339E4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mr.gov.pl/rewitaliz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DIAGNOZA PROGRAMU REWITALIZACJI MIASTA OSTROWCA ŚWIĘTOKRZYSKIEGO</vt:lpstr>
    </vt:vector>
  </TitlesOfParts>
  <Company>PBPP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DIAGNOZA PROGRAMU REWITALIZACJI MIASTA OSTROWCA ŚWIĘTOKRZYSKIEGO</dc:title>
  <dc:creator>Bożena Tylikowska</dc:creator>
  <cp:lastModifiedBy>Agnieszka Dziuba</cp:lastModifiedBy>
  <cp:revision>2</cp:revision>
  <cp:lastPrinted>2016-07-04T10:24:00Z</cp:lastPrinted>
  <dcterms:created xsi:type="dcterms:W3CDTF">2016-12-21T14:14:00Z</dcterms:created>
  <dcterms:modified xsi:type="dcterms:W3CDTF">2016-12-21T14:14:00Z</dcterms:modified>
</cp:coreProperties>
</file>